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AUTHORIZATION TO DISPATCH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Limited authority for a dispatcher to act for a carrier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Sample for general use. A dispatch arrangement has legal and regulatory consequences (for example the line between dispatching and brokering). Have an attorney review it before you rely on it. This is not a power of attorney over the carrier's money.</w:t>
            </w:r>
          </w:p>
        </w:tc>
      </w:tr>
    </w:tbl>
    <w:p>
      <w:pPr>
        <w:spacing w:after="40" w:before="0" w:line="264" w:lineRule="auto"/>
      </w:pPr>
    </w:p>
    <w:p>
      <w:pPr>
        <w:spacing w:after="12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20"/>
        </w:rPr>
        <w:t>This authorization is given by [Carrier legal name], MC# [___], DOT# [___] ("Carrier") to [Dispatcher legal name] ("Dispatcher") on [date].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1. What the Dispatcher may do for the Carrier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Search for freight and speak to brokers and shippers on the Carrier's behalf.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Negotiate rates and accessorials within the minimums the Carrier has set in writing.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Book loads that the Carrier has approved, and communicate dispatch details to the Carrier's drivers.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Receive and forward rate confirmations for the Carrier's review and signature.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Track loads, make check calls and report status to the Carrier.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Assist with invoicing and follow-up, using the Carrier's own remit details.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2. What the Dispatcher may not do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Sign a rate confirmation, contract or any legal document for the Carrier unless the Carrier gives separate written permission for that document.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Change the Carrier's remit-to, bank or factoring details.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Receive, hold or move the Carrier's freight payments, unless a separate written agreement allows it.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Commit the Carrier to any rate below its written minimum or to a load the Carrier has not approved.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Act as a freight broker or take payment from a shipper or broker for finding a truck.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3. Fees and term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312"/>
        <w:gridCol w:w="6624"/>
      </w:tblGrid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Dispatch fee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Start date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Term / notice to end (days)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31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Governing agreement</w:t>
            </w:r>
          </w:p>
        </w:tc>
        <w:tc>
          <w:tcPr>
            <w:tcW w:type="dxa" w:w="662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spacing w:after="8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19"/>
        </w:rPr>
        <w:t>Either party may end this authorization at any time by written notice, effective on receipt. Loads already booked will be completed on their terms and fees for them remain payable.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4. Confidentiality</w:t>
      </w:r>
    </w:p>
    <w:p>
      <w:pPr>
        <w:spacing w:after="8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19"/>
        </w:rPr>
        <w:t>The Dispatcher will keep the Carrier's documents, rates and customer information confidential and use them only to provide dispatch services.</w:t>
      </w:r>
    </w:p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220" w:type="dxa"/>
          <w:left w:w="0" w:type="dxa"/>
          <w:bottom w:w="20" w:type="dxa"/>
          <w:right w:w="0" w:type="dxa"/>
        </w:tblCellMar>
      </w:tblPr>
      <w:tblGrid>
        <w:gridCol w:w="4471"/>
        <w:gridCol w:w="994"/>
        <w:gridCol w:w="4471"/>
      </w:tblGrid>
      <w:tr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Carrier signature</w:t>
            </w:r>
          </w:p>
        </w:tc>
        <w:tc>
          <w:tcPr>
            <w:tcW w:type="dxa" w:w="994"/>
          </w:tcPr>
          <w:p/>
        </w:tc>
        <w:tc>
          <w:tcPr>
            <w:tcW w:type="dxa" w:w="4471"/>
            <w:tcBorders>
              <w:bottom w:val="single" w:sz="6" w:color="1F2937"/>
            </w:tcBorders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8"/>
              </w:rPr>
              <w:t>Dispatcher signature</w:t>
            </w:r>
          </w:p>
        </w:tc>
      </w:tr>
      <w:tr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Name, title, date</w:t>
            </w:r>
          </w:p>
        </w:tc>
        <w:tc>
          <w:tcPr>
            <w:tcW w:type="dxa" w:w="994"/>
          </w:tcPr>
          <w:p/>
        </w:tc>
        <w:tc>
          <w:tcPr>
            <w:tcW w:type="dxa" w:w="447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Name, title, date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TDU-AGR-01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