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936"/>
        <w:tblLayout w:type="fixed"/>
        <w:tblLook w:firstColumn="1" w:firstRow="1" w:lastColumn="0" w:lastRow="0" w:noHBand="0" w:noVBand="1" w:val="04A0"/>
        <w:tblLayout w:type="fixed"/>
        <w:tblCellMar>
          <w:top w:w="0" w:type="dxa"/>
          <w:left w:w="0" w:type="dxa"/>
          <w:bottom w:w="0" w:type="dxa"/>
          <w:right w:w="0" w:type="dxa"/>
        </w:tblCellMar>
      </w:tblPr>
      <w:tblGrid>
        <w:gridCol w:w="6160"/>
        <w:gridCol w:w="3776"/>
      </w:tblGrid>
      <w:tr>
        <w:tc>
          <w:tcPr>
            <w:tcW w:type="dxa" w:w="6160"/>
          </w:tcPr>
          <w:p>
            <w:pPr>
              <w:spacing w:after="0" w:before="0"/>
            </w:pPr>
            <w:r/>
            <w:r>
              <w:rPr>
                <w:rFonts w:ascii="Calibri" w:hAnsi="Calibri" w:eastAsia="Calibri"/>
                <w:b/>
                <w:i w:val="0"/>
                <w:color w:val="0A1B3D"/>
                <w:sz w:val="32"/>
              </w:rPr>
              <w:t>[Your Company Name]</w:t>
            </w:r>
          </w:p>
          <w:p>
            <w:pPr>
              <w:spacing w:after="0"/>
            </w:pPr>
            <w:r>
              <w:rPr>
                <w:rFonts w:ascii="Calibri" w:hAnsi="Calibri" w:eastAsia="Calibri"/>
                <w:b w:val="0"/>
                <w:i w:val="0"/>
                <w:color w:val="6B7280"/>
                <w:sz w:val="17"/>
              </w:rPr>
              <w:t>[Street address, City, State ZIP]  |  [Phone]  |  [Email]  |  MC# [number]  DOT# [number]</w:t>
            </w:r>
          </w:p>
        </w:tc>
        <w:tc>
          <w:tcPr>
            <w:tcW w:type="dxa" w:w="3776"/>
          </w:tcPr>
          <w:p>
            <w:pPr>
              <w:spacing w:after="0" w:before="0"/>
              <w:jc w:val="right"/>
            </w:pPr>
            <w:r/>
            <w:r>
              <w:rPr>
                <w:rFonts w:ascii="Calibri" w:hAnsi="Calibri" w:eastAsia="Calibri"/>
                <w:b/>
                <w:i w:val="0"/>
                <w:color w:val="9A7415"/>
                <w:sz w:val="22"/>
              </w:rPr>
              <w:t>RATE CONFIRMATION REVIEW CHECKLIST</w:t>
            </w:r>
          </w:p>
          <w:p>
            <w:pPr>
              <w:spacing w:after="0"/>
              <w:jc w:val="right"/>
            </w:pPr>
            <w:r>
              <w:rPr>
                <w:rFonts w:ascii="Calibri" w:hAnsi="Calibri" w:eastAsia="Calibri"/>
                <w:b w:val="0"/>
                <w:i w:val="0"/>
                <w:color w:val="6B7280"/>
                <w:sz w:val="17"/>
              </w:rPr>
              <w:t>Check every rate confirmation before you sign</w:t>
            </w:r>
          </w:p>
        </w:tc>
      </w:tr>
    </w:tbl>
    <w:p>
      <w:pPr>
        <w:spacing w:after="120" w:before="40"/>
        <w:pBdr>
          <w:bottom w:val="single" w:sz="14" w:space="1" w:color="B8962E"/>
        </w:pBdr>
      </w:pPr>
    </w:p>
    <w:p>
      <w:pPr>
        <w:spacing w:after="80" w:before="0" w:line="264" w:lineRule="auto"/>
      </w:pPr>
      <w:r>
        <w:rPr>
          <w:rFonts w:ascii="Calibri" w:hAnsi="Calibri" w:eastAsia="Calibri"/>
          <w:b w:val="0"/>
          <w:i w:val="0"/>
          <w:color w:val="1F2937"/>
          <w:sz w:val="19"/>
        </w:rPr>
        <w:t>Read the whole document, including the back pages and any linked terms. If anything differs from what was agreed on the phone, get it corrected in writing before the truck moves.</w:t>
      </w:r>
    </w:p>
    <w:p>
      <w:pPr>
        <w:keepNext/>
        <w:spacing w:after="60" w:before="160" w:line="264" w:lineRule="auto"/>
      </w:pPr>
      <w:r>
        <w:rPr>
          <w:rFonts w:ascii="Calibri" w:hAnsi="Calibri" w:eastAsia="Calibri"/>
          <w:b/>
          <w:i w:val="0"/>
          <w:color w:val="0A1B3D"/>
          <w:sz w:val="23"/>
        </w:rPr>
        <w:t>Parties and identity</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9936"/>
      </w:tblGrid>
      <w:tr>
        <w:tc>
          <w:tcPr>
            <w:tcW w:type="dxa" w:w="9936"/>
          </w:tcPr>
          <w:p>
            <w:pPr>
              <w:spacing w:after="0" w:before="0"/>
            </w:pPr>
            <w:r/>
            <w:r>
              <w:rPr>
                <w:rFonts w:ascii="Calibri" w:hAnsi="Calibri" w:eastAsia="Calibri"/>
                <w:b w:val="0"/>
                <w:i w:val="0"/>
                <w:color w:val="1F2937"/>
                <w:sz w:val="19"/>
              </w:rPr>
              <w:t>☐  Carrier name and MC# are correct</w:t>
            </w:r>
          </w:p>
        </w:tc>
      </w:tr>
      <w:tr>
        <w:tc>
          <w:tcPr>
            <w:tcW w:type="dxa" w:w="9936"/>
          </w:tcPr>
          <w:p>
            <w:pPr>
              <w:spacing w:after="0" w:before="0"/>
            </w:pPr>
            <w:r/>
            <w:r>
              <w:rPr>
                <w:rFonts w:ascii="Calibri" w:hAnsi="Calibri" w:eastAsia="Calibri"/>
                <w:b w:val="0"/>
                <w:i w:val="0"/>
                <w:color w:val="1F2937"/>
                <w:sz w:val="19"/>
              </w:rPr>
              <w:t>☐  Broker name, MC# and phone match the broker you vetted</w:t>
            </w:r>
          </w:p>
        </w:tc>
      </w:tr>
      <w:tr>
        <w:tc>
          <w:tcPr>
            <w:tcW w:type="dxa" w:w="9936"/>
          </w:tcPr>
          <w:p>
            <w:pPr>
              <w:spacing w:after="0" w:before="0"/>
            </w:pPr>
            <w:r/>
            <w:r>
              <w:rPr>
                <w:rFonts w:ascii="Calibri" w:hAnsi="Calibri" w:eastAsia="Calibri"/>
                <w:b w:val="0"/>
                <w:i w:val="0"/>
                <w:color w:val="1F2937"/>
                <w:sz w:val="19"/>
              </w:rPr>
              <w:t>☐  Load number matches your booking</w:t>
            </w:r>
          </w:p>
        </w:tc>
      </w:tr>
      <w:tr>
        <w:tc>
          <w:tcPr>
            <w:tcW w:type="dxa" w:w="9936"/>
          </w:tcPr>
          <w:p>
            <w:pPr>
              <w:spacing w:after="0" w:before="0"/>
            </w:pPr>
            <w:r/>
            <w:r>
              <w:rPr>
                <w:rFonts w:ascii="Calibri" w:hAnsi="Calibri" w:eastAsia="Calibri"/>
                <w:b w:val="0"/>
                <w:i w:val="0"/>
                <w:color w:val="1F2937"/>
                <w:sz w:val="19"/>
              </w:rPr>
              <w:t>☐  Email domain is the broker's real domain</w:t>
            </w:r>
          </w:p>
        </w:tc>
      </w:tr>
    </w:tbl>
    <w:p>
      <w:pPr>
        <w:spacing w:after="40" w:before="0" w:line="264" w:lineRule="auto"/>
      </w:pPr>
    </w:p>
    <w:p>
      <w:pPr>
        <w:keepNext/>
        <w:spacing w:after="60" w:before="160" w:line="264" w:lineRule="auto"/>
      </w:pPr>
      <w:r>
        <w:rPr>
          <w:rFonts w:ascii="Calibri" w:hAnsi="Calibri" w:eastAsia="Calibri"/>
          <w:b/>
          <w:i w:val="0"/>
          <w:color w:val="0A1B3D"/>
          <w:sz w:val="23"/>
        </w:rPr>
        <w:t>Pickup and delivery</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9936"/>
      </w:tblGrid>
      <w:tr>
        <w:tc>
          <w:tcPr>
            <w:tcW w:type="dxa" w:w="9936"/>
          </w:tcPr>
          <w:p>
            <w:pPr>
              <w:spacing w:after="0" w:before="0"/>
            </w:pPr>
            <w:r/>
            <w:r>
              <w:rPr>
                <w:rFonts w:ascii="Calibri" w:hAnsi="Calibri" w:eastAsia="Calibri"/>
                <w:b w:val="0"/>
                <w:i w:val="0"/>
                <w:color w:val="1F2937"/>
                <w:sz w:val="19"/>
              </w:rPr>
              <w:t>☐  Addresses are complete and correct</w:t>
            </w:r>
          </w:p>
        </w:tc>
      </w:tr>
      <w:tr>
        <w:tc>
          <w:tcPr>
            <w:tcW w:type="dxa" w:w="9936"/>
          </w:tcPr>
          <w:p>
            <w:pPr>
              <w:spacing w:after="0" w:before="0"/>
            </w:pPr>
            <w:r/>
            <w:r>
              <w:rPr>
                <w:rFonts w:ascii="Calibri" w:hAnsi="Calibri" w:eastAsia="Calibri"/>
                <w:b w:val="0"/>
                <w:i w:val="0"/>
                <w:color w:val="1F2937"/>
                <w:sz w:val="19"/>
              </w:rPr>
              <w:t>☐  Appointment or window times are clear (FCFS or appointment)</w:t>
            </w:r>
          </w:p>
        </w:tc>
      </w:tr>
      <w:tr>
        <w:tc>
          <w:tcPr>
            <w:tcW w:type="dxa" w:w="9936"/>
          </w:tcPr>
          <w:p>
            <w:pPr>
              <w:spacing w:after="0" w:before="0"/>
            </w:pPr>
            <w:r/>
            <w:r>
              <w:rPr>
                <w:rFonts w:ascii="Calibri" w:hAnsi="Calibri" w:eastAsia="Calibri"/>
                <w:b w:val="0"/>
                <w:i w:val="0"/>
                <w:color w:val="1F2937"/>
                <w:sz w:val="19"/>
              </w:rPr>
              <w:t>☐  Reference / PO / pickup numbers are present</w:t>
            </w:r>
          </w:p>
        </w:tc>
      </w:tr>
      <w:tr>
        <w:tc>
          <w:tcPr>
            <w:tcW w:type="dxa" w:w="9936"/>
          </w:tcPr>
          <w:p>
            <w:pPr>
              <w:spacing w:after="0" w:before="0"/>
            </w:pPr>
            <w:r/>
            <w:r>
              <w:rPr>
                <w:rFonts w:ascii="Calibri" w:hAnsi="Calibri" w:eastAsia="Calibri"/>
                <w:b w:val="0"/>
                <w:i w:val="0"/>
                <w:color w:val="1F2937"/>
                <w:sz w:val="19"/>
              </w:rPr>
              <w:t>☐  Contact name and phone for each stop</w:t>
            </w:r>
          </w:p>
        </w:tc>
      </w:tr>
      <w:tr>
        <w:tc>
          <w:tcPr>
            <w:tcW w:type="dxa" w:w="9936"/>
          </w:tcPr>
          <w:p>
            <w:pPr>
              <w:spacing w:after="0" w:before="0"/>
            </w:pPr>
            <w:r/>
            <w:r>
              <w:rPr>
                <w:rFonts w:ascii="Calibri" w:hAnsi="Calibri" w:eastAsia="Calibri"/>
                <w:b w:val="0"/>
                <w:i w:val="0"/>
                <w:color w:val="1F2937"/>
                <w:sz w:val="19"/>
              </w:rPr>
              <w:t>☐  Lumper, driver assist or tarping rules are stated</w:t>
            </w:r>
          </w:p>
        </w:tc>
      </w:tr>
    </w:tbl>
    <w:p>
      <w:pPr>
        <w:spacing w:after="40" w:before="0" w:line="264" w:lineRule="auto"/>
      </w:pPr>
    </w:p>
    <w:p>
      <w:pPr>
        <w:keepNext/>
        <w:spacing w:after="60" w:before="160" w:line="264" w:lineRule="auto"/>
      </w:pPr>
      <w:r>
        <w:rPr>
          <w:rFonts w:ascii="Calibri" w:hAnsi="Calibri" w:eastAsia="Calibri"/>
          <w:b/>
          <w:i w:val="0"/>
          <w:color w:val="0A1B3D"/>
          <w:sz w:val="23"/>
        </w:rPr>
        <w:t>Freight</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9936"/>
      </w:tblGrid>
      <w:tr>
        <w:tc>
          <w:tcPr>
            <w:tcW w:type="dxa" w:w="9936"/>
          </w:tcPr>
          <w:p>
            <w:pPr>
              <w:spacing w:after="0" w:before="0"/>
            </w:pPr>
            <w:r/>
            <w:r>
              <w:rPr>
                <w:rFonts w:ascii="Calibri" w:hAnsi="Calibri" w:eastAsia="Calibri"/>
                <w:b w:val="0"/>
                <w:i w:val="0"/>
                <w:color w:val="1F2937"/>
                <w:sz w:val="19"/>
              </w:rPr>
              <w:t>☐  Commodity, weight, piece count are right</w:t>
            </w:r>
          </w:p>
        </w:tc>
      </w:tr>
      <w:tr>
        <w:tc>
          <w:tcPr>
            <w:tcW w:type="dxa" w:w="9936"/>
          </w:tcPr>
          <w:p>
            <w:pPr>
              <w:spacing w:after="0" w:before="0"/>
            </w:pPr>
            <w:r/>
            <w:r>
              <w:rPr>
                <w:rFonts w:ascii="Calibri" w:hAnsi="Calibri" w:eastAsia="Calibri"/>
                <w:b w:val="0"/>
                <w:i w:val="0"/>
                <w:color w:val="1F2937"/>
                <w:sz w:val="19"/>
              </w:rPr>
              <w:t>☐  Equipment type and size are right</w:t>
            </w:r>
          </w:p>
        </w:tc>
      </w:tr>
      <w:tr>
        <w:tc>
          <w:tcPr>
            <w:tcW w:type="dxa" w:w="9936"/>
          </w:tcPr>
          <w:p>
            <w:pPr>
              <w:spacing w:after="0" w:before="0"/>
            </w:pPr>
            <w:r/>
            <w:r>
              <w:rPr>
                <w:rFonts w:ascii="Calibri" w:hAnsi="Calibri" w:eastAsia="Calibri"/>
                <w:b w:val="0"/>
                <w:i w:val="0"/>
                <w:color w:val="1F2937"/>
                <w:sz w:val="19"/>
              </w:rPr>
              <w:t>☐  Temperature settings (reefer) stated</w:t>
            </w:r>
          </w:p>
        </w:tc>
      </w:tr>
      <w:tr>
        <w:tc>
          <w:tcPr>
            <w:tcW w:type="dxa" w:w="9936"/>
          </w:tcPr>
          <w:p>
            <w:pPr>
              <w:spacing w:after="0" w:before="0"/>
            </w:pPr>
            <w:r/>
            <w:r>
              <w:rPr>
                <w:rFonts w:ascii="Calibri" w:hAnsi="Calibri" w:eastAsia="Calibri"/>
                <w:b w:val="0"/>
                <w:i w:val="0"/>
                <w:color w:val="1F2937"/>
                <w:sz w:val="19"/>
              </w:rPr>
              <w:t>☐  Hazmat, oversize or special handling stated</w:t>
            </w:r>
          </w:p>
        </w:tc>
      </w:tr>
      <w:tr>
        <w:tc>
          <w:tcPr>
            <w:tcW w:type="dxa" w:w="9936"/>
          </w:tcPr>
          <w:p>
            <w:pPr>
              <w:spacing w:after="0" w:before="0"/>
            </w:pPr>
            <w:r/>
            <w:r>
              <w:rPr>
                <w:rFonts w:ascii="Calibri" w:hAnsi="Calibri" w:eastAsia="Calibri"/>
                <w:b w:val="0"/>
                <w:i w:val="0"/>
                <w:color w:val="1F2937"/>
                <w:sz w:val="19"/>
              </w:rPr>
              <w:t>☐  Team or tracking requirements stated</w:t>
            </w:r>
          </w:p>
        </w:tc>
      </w:tr>
    </w:tbl>
    <w:p>
      <w:pPr>
        <w:spacing w:after="40" w:before="0" w:line="264" w:lineRule="auto"/>
      </w:pPr>
    </w:p>
    <w:p>
      <w:pPr>
        <w:keepNext/>
        <w:spacing w:after="60" w:before="160" w:line="264" w:lineRule="auto"/>
      </w:pPr>
      <w:r>
        <w:rPr>
          <w:rFonts w:ascii="Calibri" w:hAnsi="Calibri" w:eastAsia="Calibri"/>
          <w:b/>
          <w:i w:val="0"/>
          <w:color w:val="0A1B3D"/>
          <w:sz w:val="23"/>
        </w:rPr>
        <w:t>Money</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9936"/>
      </w:tblGrid>
      <w:tr>
        <w:tc>
          <w:tcPr>
            <w:tcW w:type="dxa" w:w="9936"/>
          </w:tcPr>
          <w:p>
            <w:pPr>
              <w:spacing w:after="0" w:before="0"/>
            </w:pPr>
            <w:r/>
            <w:r>
              <w:rPr>
                <w:rFonts w:ascii="Calibri" w:hAnsi="Calibri" w:eastAsia="Calibri"/>
                <w:b w:val="0"/>
                <w:i w:val="0"/>
                <w:color w:val="1F2937"/>
                <w:sz w:val="19"/>
              </w:rPr>
              <w:t>☐  Rate matches the agreed amount and says flat or per mile</w:t>
            </w:r>
          </w:p>
        </w:tc>
      </w:tr>
      <w:tr>
        <w:tc>
          <w:tcPr>
            <w:tcW w:type="dxa" w:w="9936"/>
          </w:tcPr>
          <w:p>
            <w:pPr>
              <w:spacing w:after="0" w:before="0"/>
            </w:pPr>
            <w:r/>
            <w:r>
              <w:rPr>
                <w:rFonts w:ascii="Calibri" w:hAnsi="Calibri" w:eastAsia="Calibri"/>
                <w:b w:val="0"/>
                <w:i w:val="0"/>
                <w:color w:val="1F2937"/>
                <w:sz w:val="19"/>
              </w:rPr>
              <w:t>☐  Fuel surcharge is included, or the all-in rate is stated</w:t>
            </w:r>
          </w:p>
        </w:tc>
      </w:tr>
      <w:tr>
        <w:tc>
          <w:tcPr>
            <w:tcW w:type="dxa" w:w="9936"/>
          </w:tcPr>
          <w:p>
            <w:pPr>
              <w:spacing w:after="0" w:before="0"/>
            </w:pPr>
            <w:r/>
            <w:r>
              <w:rPr>
                <w:rFonts w:ascii="Calibri" w:hAnsi="Calibri" w:eastAsia="Calibri"/>
                <w:b w:val="0"/>
                <w:i w:val="0"/>
                <w:color w:val="1F2937"/>
                <w:sz w:val="19"/>
              </w:rPr>
              <w:t>☐  Detention: free time and hourly rate</w:t>
            </w:r>
          </w:p>
        </w:tc>
      </w:tr>
      <w:tr>
        <w:tc>
          <w:tcPr>
            <w:tcW w:type="dxa" w:w="9936"/>
          </w:tcPr>
          <w:p>
            <w:pPr>
              <w:spacing w:after="0" w:before="0"/>
            </w:pPr>
            <w:r/>
            <w:r>
              <w:rPr>
                <w:rFonts w:ascii="Calibri" w:hAnsi="Calibri" w:eastAsia="Calibri"/>
                <w:b w:val="0"/>
                <w:i w:val="0"/>
                <w:color w:val="1F2937"/>
                <w:sz w:val="19"/>
              </w:rPr>
              <w:t>☐  Layover and TONU amounts</w:t>
            </w:r>
          </w:p>
        </w:tc>
      </w:tr>
      <w:tr>
        <w:tc>
          <w:tcPr>
            <w:tcW w:type="dxa" w:w="9936"/>
          </w:tcPr>
          <w:p>
            <w:pPr>
              <w:spacing w:after="0" w:before="0"/>
            </w:pPr>
            <w:r/>
            <w:r>
              <w:rPr>
                <w:rFonts w:ascii="Calibri" w:hAnsi="Calibri" w:eastAsia="Calibri"/>
                <w:b w:val="0"/>
                <w:i w:val="0"/>
                <w:color w:val="1F2937"/>
                <w:sz w:val="19"/>
              </w:rPr>
              <w:t>☐  Lumper reimbursement rule</w:t>
            </w:r>
          </w:p>
        </w:tc>
      </w:tr>
      <w:tr>
        <w:tc>
          <w:tcPr>
            <w:tcW w:type="dxa" w:w="9936"/>
          </w:tcPr>
          <w:p>
            <w:pPr>
              <w:spacing w:after="0" w:before="0"/>
            </w:pPr>
            <w:r/>
            <w:r>
              <w:rPr>
                <w:rFonts w:ascii="Calibri" w:hAnsi="Calibri" w:eastAsia="Calibri"/>
                <w:b w:val="0"/>
                <w:i w:val="0"/>
                <w:color w:val="1F2937"/>
                <w:sz w:val="19"/>
              </w:rPr>
              <w:t>☐  Payment terms (days) and how it is paid (ACH, factor)</w:t>
            </w:r>
          </w:p>
        </w:tc>
      </w:tr>
      <w:tr>
        <w:tc>
          <w:tcPr>
            <w:tcW w:type="dxa" w:w="9936"/>
          </w:tcPr>
          <w:p>
            <w:pPr>
              <w:spacing w:after="0" w:before="0"/>
            </w:pPr>
            <w:r/>
            <w:r>
              <w:rPr>
                <w:rFonts w:ascii="Calibri" w:hAnsi="Calibri" w:eastAsia="Calibri"/>
                <w:b w:val="0"/>
                <w:i w:val="0"/>
                <w:color w:val="1F2937"/>
                <w:sz w:val="19"/>
              </w:rPr>
              <w:t>☐  No unusual deductions, chargebacks or fines</w:t>
            </w:r>
          </w:p>
        </w:tc>
      </w:tr>
    </w:tbl>
    <w:p>
      <w:pPr>
        <w:spacing w:after="40" w:before="0" w:line="264" w:lineRule="auto"/>
      </w:pPr>
    </w:p>
    <w:p>
      <w:pPr>
        <w:keepNext/>
        <w:spacing w:after="60" w:before="160" w:line="264" w:lineRule="auto"/>
      </w:pPr>
      <w:r>
        <w:rPr>
          <w:rFonts w:ascii="Calibri" w:hAnsi="Calibri" w:eastAsia="Calibri"/>
          <w:b/>
          <w:i w:val="0"/>
          <w:color w:val="0A1B3D"/>
          <w:sz w:val="23"/>
        </w:rPr>
        <w:t>Terms to read twice</w:t>
      </w:r>
    </w:p>
    <w:tbl>
      <w:tblPr>
        <w:tblW w:type="dxa" w:w="9936"/>
        <w:tblLook w:firstColumn="1" w:firstRow="1" w:lastColumn="0" w:lastRow="0" w:noHBand="0" w:noVBand="1" w:val="04A0"/>
        <w:tblLayout w:type="fixed"/>
        <w:tblCellMar>
          <w:top w:w="40" w:type="dxa"/>
          <w:left w:w="60" w:type="dxa"/>
          <w:bottom w:w="40" w:type="dxa"/>
          <w:right w:w="60" w:type="dxa"/>
        </w:tblCellMar>
        <w:tblLayout w:type="fixed"/>
      </w:tblPr>
      <w:tblGrid>
        <w:gridCol w:w="9936"/>
      </w:tblGrid>
      <w:tr>
        <w:tc>
          <w:tcPr>
            <w:tcW w:type="dxa" w:w="9936"/>
          </w:tcPr>
          <w:p>
            <w:pPr>
              <w:spacing w:after="0" w:before="0"/>
            </w:pPr>
            <w:r/>
            <w:r>
              <w:rPr>
                <w:rFonts w:ascii="Calibri" w:hAnsi="Calibri" w:eastAsia="Calibri"/>
                <w:b w:val="0"/>
                <w:i w:val="0"/>
                <w:color w:val="1F2937"/>
                <w:sz w:val="19"/>
              </w:rPr>
              <w:t>☐  Double brokering or re-brokering clause</w:t>
            </w:r>
          </w:p>
        </w:tc>
      </w:tr>
      <w:tr>
        <w:tc>
          <w:tcPr>
            <w:tcW w:type="dxa" w:w="9936"/>
          </w:tcPr>
          <w:p>
            <w:pPr>
              <w:spacing w:after="0" w:before="0"/>
            </w:pPr>
            <w:r/>
            <w:r>
              <w:rPr>
                <w:rFonts w:ascii="Calibri" w:hAnsi="Calibri" w:eastAsia="Calibri"/>
                <w:b w:val="0"/>
                <w:i w:val="0"/>
                <w:color w:val="1F2937"/>
                <w:sz w:val="19"/>
              </w:rPr>
              <w:t>☐  Cargo insurance minimums and who is liable</w:t>
            </w:r>
          </w:p>
        </w:tc>
      </w:tr>
      <w:tr>
        <w:tc>
          <w:tcPr>
            <w:tcW w:type="dxa" w:w="9936"/>
          </w:tcPr>
          <w:p>
            <w:pPr>
              <w:spacing w:after="0" w:before="0"/>
            </w:pPr>
            <w:r/>
            <w:r>
              <w:rPr>
                <w:rFonts w:ascii="Calibri" w:hAnsi="Calibri" w:eastAsia="Calibri"/>
                <w:b w:val="0"/>
                <w:i w:val="0"/>
                <w:color w:val="1F2937"/>
                <w:sz w:val="19"/>
              </w:rPr>
              <w:t>☐  Pay on receipt of original documents, or by upload</w:t>
            </w:r>
          </w:p>
        </w:tc>
      </w:tr>
      <w:tr>
        <w:tc>
          <w:tcPr>
            <w:tcW w:type="dxa" w:w="9936"/>
          </w:tcPr>
          <w:p>
            <w:pPr>
              <w:spacing w:after="0" w:before="0"/>
            </w:pPr>
            <w:r/>
            <w:r>
              <w:rPr>
                <w:rFonts w:ascii="Calibri" w:hAnsi="Calibri" w:eastAsia="Calibri"/>
                <w:b w:val="0"/>
                <w:i w:val="0"/>
                <w:color w:val="1F2937"/>
                <w:sz w:val="19"/>
              </w:rPr>
              <w:t>☐  Claims, cancellation and late delivery penalties</w:t>
            </w:r>
          </w:p>
        </w:tc>
      </w:tr>
      <w:tr>
        <w:tc>
          <w:tcPr>
            <w:tcW w:type="dxa" w:w="9936"/>
          </w:tcPr>
          <w:p>
            <w:pPr>
              <w:spacing w:after="0" w:before="0"/>
            </w:pPr>
            <w:r/>
            <w:r>
              <w:rPr>
                <w:rFonts w:ascii="Calibri" w:hAnsi="Calibri" w:eastAsia="Calibri"/>
                <w:b w:val="0"/>
                <w:i w:val="0"/>
                <w:color w:val="1F2937"/>
                <w:sz w:val="19"/>
              </w:rPr>
              <w:t>☐  Any clause that lets the broker change the rate after booking</w:t>
            </w:r>
          </w:p>
        </w:tc>
      </w:tr>
      <w:tr>
        <w:tc>
          <w:tcPr>
            <w:tcW w:type="dxa" w:w="9936"/>
          </w:tcPr>
          <w:p>
            <w:pPr>
              <w:spacing w:after="0" w:before="0"/>
            </w:pPr>
            <w:r/>
            <w:r>
              <w:rPr>
                <w:rFonts w:ascii="Calibri" w:hAnsi="Calibri" w:eastAsia="Calibri"/>
                <w:b w:val="0"/>
                <w:i w:val="0"/>
                <w:color w:val="1F2937"/>
                <w:sz w:val="19"/>
              </w:rPr>
              <w:t>☐  Who may sign: signature block is for the carrier, not the dispatcher</w:t>
            </w:r>
          </w:p>
        </w:tc>
      </w:tr>
    </w:tbl>
    <w:p>
      <w:pPr>
        <w:spacing w:after="40" w:before="0" w:line="264" w:lineRule="auto"/>
      </w:pPr>
    </w:p>
    <w:tbl>
      <w:tblPr>
        <w:tblW w:type="dxa" w:w="9936"/>
        <w:tblLook w:firstColumn="1" w:firstRow="1" w:lastColumn="0" w:lastRow="0" w:noHBand="0" w:noVBand="1" w:val="04A0"/>
        <w:jc w:val="center"/>
        <w:tblBorders>
          <w:top w:val="single" w:sz="4" w:space="0" w:color="C9CED8"/>
          <w:left w:val="single" w:sz="4" w:space="0" w:color="C9CED8"/>
          <w:bottom w:val="single" w:sz="4" w:space="0" w:color="C9CED8"/>
          <w:right w:val="single" w:sz="4" w:space="0" w:color="C9CED8"/>
          <w:insideH w:val="single" w:sz="4" w:space="0" w:color="C9CED8"/>
          <w:insideV w:val="single" w:sz="4" w:space="0" w:color="C9CED8"/>
        </w:tblBorders>
        <w:tblLayout w:type="fixed"/>
        <w:tblCellMar>
          <w:top w:w="60" w:type="dxa"/>
          <w:left w:w="100" w:type="dxa"/>
          <w:bottom w:w="60" w:type="dxa"/>
          <w:right w:w="100" w:type="dxa"/>
        </w:tblCellMar>
        <w:tblLayout w:type="fixed"/>
      </w:tblPr>
      <w:tblGrid>
        <w:gridCol w:w="2088"/>
        <w:gridCol w:w="2880"/>
        <w:gridCol w:w="2088"/>
        <w:gridCol w:w="2880"/>
      </w:tblGrid>
      <w:tr>
        <w:tc>
          <w:tcPr>
            <w:tcW w:type="dxa" w:w="2088"/>
            <w:shd w:val="clear" w:color="auto" w:fill="EEF1F7"/>
          </w:tcPr>
          <w:p>
            <w:pPr>
              <w:spacing w:after="0" w:before="0"/>
            </w:pPr>
            <w:r/>
            <w:r>
              <w:rPr>
                <w:rFonts w:ascii="Calibri" w:hAnsi="Calibri" w:eastAsia="Calibri"/>
                <w:b/>
                <w:i w:val="0"/>
                <w:color w:val="0A1B3D"/>
                <w:sz w:val="18"/>
              </w:rPr>
              <w:t>Reviewed by</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Date</w:t>
            </w:r>
          </w:p>
        </w:tc>
        <w:tc>
          <w:tcPr>
            <w:tcW w:type="dxa" w:w="2880"/>
          </w:tcPr>
          <w:p>
            <w:pPr>
              <w:spacing w:after="0" w:before="0"/>
            </w:pPr>
            <w:r/>
            <w:r>
              <w:rPr>
                <w:rFonts w:ascii="Calibri" w:hAnsi="Calibri" w:eastAsia="Calibri"/>
                <w:b w:val="0"/>
                <w:i w:val="0"/>
                <w:color w:val="1F2937"/>
                <w:sz w:val="19"/>
              </w:rPr>
            </w:r>
          </w:p>
        </w:tc>
      </w:tr>
      <w:tr>
        <w:tc>
          <w:tcPr>
            <w:tcW w:type="dxa" w:w="2088"/>
            <w:shd w:val="clear" w:color="auto" w:fill="EEF1F7"/>
          </w:tcPr>
          <w:p>
            <w:pPr>
              <w:spacing w:after="0" w:before="0"/>
            </w:pPr>
            <w:r/>
            <w:r>
              <w:rPr>
                <w:rFonts w:ascii="Calibri" w:hAnsi="Calibri" w:eastAsia="Calibri"/>
                <w:b/>
                <w:i w:val="0"/>
                <w:color w:val="0A1B3D"/>
                <w:sz w:val="18"/>
              </w:rPr>
              <w:t>Result: signed / sent back for changes</w:t>
            </w:r>
          </w:p>
        </w:tc>
        <w:tc>
          <w:tcPr>
            <w:tcW w:type="dxa" w:w="2880"/>
          </w:tcPr>
          <w:p>
            <w:pPr>
              <w:spacing w:after="0" w:before="0"/>
            </w:pPr>
            <w:r/>
            <w:r>
              <w:rPr>
                <w:rFonts w:ascii="Calibri" w:hAnsi="Calibri" w:eastAsia="Calibri"/>
                <w:b w:val="0"/>
                <w:i w:val="0"/>
                <w:color w:val="1F2937"/>
                <w:sz w:val="19"/>
              </w:rPr>
            </w:r>
          </w:p>
        </w:tc>
        <w:tc>
          <w:tcPr>
            <w:tcW w:type="dxa" w:w="2088"/>
            <w:shd w:val="clear" w:color="auto" w:fill="EEF1F7"/>
          </w:tcPr>
          <w:p>
            <w:pPr>
              <w:spacing w:after="0" w:before="0"/>
            </w:pPr>
            <w:r/>
            <w:r>
              <w:rPr>
                <w:rFonts w:ascii="Calibri" w:hAnsi="Calibri" w:eastAsia="Calibri"/>
                <w:b/>
                <w:i w:val="0"/>
                <w:color w:val="0A1B3D"/>
                <w:sz w:val="18"/>
              </w:rPr>
              <w:t>Changes requested</w:t>
            </w:r>
          </w:p>
        </w:tc>
        <w:tc>
          <w:tcPr>
            <w:tcW w:type="dxa" w:w="2880"/>
          </w:tcPr>
          <w:p>
            <w:pPr>
              <w:spacing w:after="0" w:before="0"/>
            </w:pPr>
            <w:r/>
            <w:r>
              <w:rPr>
                <w:rFonts w:ascii="Calibri" w:hAnsi="Calibri" w:eastAsia="Calibri"/>
                <w:b w:val="0"/>
                <w:i w:val="0"/>
                <w:color w:val="1F2937"/>
                <w:sz w:val="19"/>
              </w:rPr>
            </w:r>
          </w:p>
        </w:tc>
      </w:tr>
    </w:tbl>
    <w:p>
      <w:pPr>
        <w:spacing w:after="40" w:before="0" w:line="264" w:lineRule="auto"/>
      </w:pPr>
    </w:p>
    <w:tbl>
      <w:tblPr>
        <w:tblW w:type="dxa" w:w="9936"/>
        <w:tblLook w:firstColumn="1" w:firstRow="1" w:lastColumn="0" w:lastRow="0" w:noHBand="0" w:noVBand="1" w:val="04A0"/>
        <w:tblBorders>
          <w:top w:val="single" w:sz="4" w:space="0" w:color="E4D9B3"/>
          <w:left w:val="single" w:sz="4" w:space="0" w:color="E4D9B3"/>
          <w:bottom w:val="single" w:sz="4" w:space="0" w:color="E4D9B3"/>
          <w:right w:val="single" w:sz="4" w:space="0" w:color="E4D9B3"/>
          <w:insideH w:val="single" w:sz="4" w:space="0" w:color="E4D9B3"/>
          <w:insideV w:val="single" w:sz="4" w:space="0" w:color="E4D9B3"/>
        </w:tblBorders>
        <w:tblLayout w:type="fixed"/>
        <w:tblCellMar>
          <w:top w:w="70" w:type="dxa"/>
          <w:left w:w="120" w:type="dxa"/>
          <w:bottom w:w="70" w:type="dxa"/>
          <w:right w:w="120" w:type="dxa"/>
        </w:tblCellMar>
        <w:tblLayout w:type="fixed"/>
      </w:tblPr>
      <w:tblGrid>
        <w:gridCol w:w="9936"/>
      </w:tblGrid>
      <w:tr>
        <w:tc>
          <w:tcPr>
            <w:tcW w:type="dxa" w:w="9936"/>
            <w:shd w:val="clear" w:color="auto" w:fill="FFF9E8"/>
          </w:tcPr>
          <w:p>
            <w:pPr>
              <w:spacing w:after="0" w:before="0"/>
            </w:pPr>
            <w:r/>
            <w:r>
              <w:rPr>
                <w:rFonts w:ascii="Calibri" w:hAnsi="Calibri" w:eastAsia="Calibri"/>
                <w:b w:val="0"/>
                <w:i/>
                <w:color w:val="6B7280"/>
                <w:sz w:val="18"/>
              </w:rPr>
              <w:t>A rate confirmation is a binding contract. The shipper, broker and carrier usually follow what is written, not what was said. Save the signed copy with the invoice.</w:t>
            </w:r>
          </w:p>
        </w:tc>
      </w:tr>
    </w:tbl>
    <w:p>
      <w:pPr>
        <w:spacing w:after="40" w:before="0" w:line="264" w:lineRule="auto"/>
      </w:pP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b w:val="0"/>
        <w:i w:val="0"/>
        <w:color w:val="6B7280"/>
        <w:sz w:val="15"/>
      </w:rPr>
      <w:t>Truck Dispatching USA - free dispatcher toolkit - truckdispatchingusa.com/dispatcher-toolkit.html. General information and sample wording only; not legal, tax or financial advice. Have a qualified attorney or accountant review before you rely on it.</w:t>
    </w:r>
  </w:p>
  <w:p>
    <w:pPr>
      <w:jc w:val="center"/>
    </w:pPr>
    <w:r>
      <w:rPr>
        <w:rFonts w:ascii="Calibri" w:hAnsi="Calibri" w:eastAsia="Calibri"/>
        <w:b w:val="0"/>
        <w:i w:val="0"/>
        <w:color w:val="6B7280"/>
        <w:sz w:val="15"/>
      </w:rPr>
      <w:t xml:space="preserve">TDU-OPS-01   Page </w:t>
    </w:r>
    <w:r>
      <w:rPr>
        <w:color w:val="6B7280"/>
        <w:sz w:val="15"/>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